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1" name="image2.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2.png"/>
                    <pic:cNvPicPr preferRelativeResize="0"/>
                  </pic:nvPicPr>
                  <pic:blipFill>
                    <a:blip r:embed="rId6"/>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888"/>
          <w:sz w:val="54"/>
          <w:szCs w:val="54"/>
          <w:rtl w:val="0"/>
        </w:rPr>
        <w:t xml:space="preserve">Financial Wellbeing Adviser -</w:t>
      </w:r>
      <w:r w:rsidDel="00000000" w:rsidR="00000000" w:rsidRPr="00000000">
        <w:rPr>
          <w:rFonts w:ascii="Open Sans" w:cs="Open Sans" w:eastAsia="Open Sans" w:hAnsi="Open Sans"/>
          <w:color w:val="004b88"/>
          <w:sz w:val="24"/>
          <w:szCs w:val="24"/>
          <w:rtl w:val="0"/>
        </w:rPr>
        <w:t xml:space="preserve"> </w:t>
      </w:r>
      <w:r w:rsidDel="00000000" w:rsidR="00000000" w:rsidRPr="00000000">
        <w:rPr>
          <w:rFonts w:ascii="Open Sans" w:cs="Open Sans" w:eastAsia="Open Sans" w:hAnsi="Open Sans"/>
          <w:b w:val="1"/>
          <w:color w:val="004b88"/>
          <w:sz w:val="32"/>
          <w:szCs w:val="32"/>
          <w:rtl w:val="0"/>
        </w:rPr>
        <w:t xml:space="preserve">Energy Mentor</w:t>
      </w:r>
    </w:p>
    <w:p w:rsidR="00000000" w:rsidDel="00000000" w:rsidP="00000000" w:rsidRDefault="00000000" w:rsidRPr="00000000" w14:paraId="00000004">
      <w:pPr>
        <w:spacing w:after="0" w:line="240" w:lineRule="auto"/>
        <w:rPr>
          <w:rFonts w:ascii="Open Sans" w:cs="Open Sans" w:eastAsia="Open Sans" w:hAnsi="Open Sans"/>
          <w:b w:val="1"/>
          <w:color w:val="004888"/>
          <w:sz w:val="54"/>
          <w:szCs w:val="54"/>
        </w:rPr>
      </w:pPr>
      <w:r w:rsidDel="00000000" w:rsidR="00000000" w:rsidRPr="00000000">
        <w:rPr>
          <w:rtl w:val="0"/>
        </w:rPr>
      </w:r>
    </w:p>
    <w:p w:rsidR="00000000" w:rsidDel="00000000" w:rsidP="00000000" w:rsidRDefault="00000000" w:rsidRPr="00000000" w14:paraId="00000005">
      <w:pPr>
        <w:spacing w:after="0" w:line="240" w:lineRule="auto"/>
        <w:rPr>
          <w:rFonts w:ascii="Open Sans" w:cs="Open Sans" w:eastAsia="Open Sans" w:hAnsi="Open Sans"/>
          <w:b w:val="1"/>
          <w:color w:val="004888"/>
          <w:sz w:val="28"/>
          <w:szCs w:val="28"/>
        </w:rPr>
      </w:pPr>
      <w:r w:rsidDel="00000000" w:rsidR="00000000" w:rsidRPr="00000000">
        <w:rPr>
          <w:rFonts w:ascii="Open Sans" w:cs="Open Sans" w:eastAsia="Open Sans" w:hAnsi="Open Sans"/>
          <w:b w:val="1"/>
          <w:color w:val="004888"/>
          <w:sz w:val="28"/>
          <w:szCs w:val="28"/>
          <w:rtl w:val="0"/>
        </w:rPr>
        <w:t xml:space="preserve">(Trainee position considered)</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 you for your interest in working at Citizens Advice Swindon. This job pack should give you everything you need to know to apply for this role and what it means to work at Citizens Advice.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B">
      <w:pPr>
        <w:numPr>
          <w:ilvl w:val="0"/>
          <w:numId w:val="6"/>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C">
      <w:pPr>
        <w:numPr>
          <w:ilvl w:val="0"/>
          <w:numId w:val="6"/>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The role profile and person specification</w:t>
      </w:r>
    </w:p>
    <w:p w:rsidR="00000000" w:rsidDel="00000000" w:rsidP="00000000" w:rsidRDefault="00000000" w:rsidRPr="00000000" w14:paraId="0000000D">
      <w:pPr>
        <w:numPr>
          <w:ilvl w:val="0"/>
          <w:numId w:val="6"/>
        </w:numPr>
        <w:spacing w:after="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E">
      <w:pPr>
        <w:numPr>
          <w:ilvl w:val="0"/>
          <w:numId w:val="6"/>
        </w:numPr>
        <w:spacing w:after="280" w:line="240" w:lineRule="auto"/>
        <w:ind w:left="720" w:hanging="360"/>
        <w:rPr>
          <w:color w:val="004888"/>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F">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1">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2">
      <w:pPr>
        <w:shd w:fill="c6d9f1" w:val="clear"/>
        <w:spacing w:after="0" w:line="240" w:lineRule="auto"/>
        <w:jc w:val="both"/>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us by emailing ameeta.bassi@caswindon.org.uk and we will organise a time to answer your queries.</w:t>
      </w:r>
    </w:p>
    <w:p w:rsidR="00000000" w:rsidDel="00000000" w:rsidP="00000000" w:rsidRDefault="00000000" w:rsidRPr="00000000" w14:paraId="00000013">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4">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5">
      <w:pPr>
        <w:shd w:fill="c6d9f1" w:val="clear"/>
        <w:spacing w:after="0" w:line="240" w:lineRule="auto"/>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Monday 28th July 2025</w:t>
      </w:r>
    </w:p>
    <w:p w:rsidR="00000000" w:rsidDel="00000000" w:rsidP="00000000" w:rsidRDefault="00000000" w:rsidRPr="00000000" w14:paraId="00000016">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dates: Wednesday 6th August 2025</w:t>
      </w:r>
    </w:p>
    <w:p w:rsidR="00000000" w:rsidDel="00000000" w:rsidP="00000000" w:rsidRDefault="00000000" w:rsidRPr="00000000" w14:paraId="00000017">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8">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9">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A">
      <w:pPr>
        <w:spacing w:after="24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Whoever they are, whatever the problem. We value diversity, promote equality and challenge discrimination. </w:t>
      </w:r>
    </w:p>
    <w:p w:rsidR="00000000" w:rsidDel="00000000" w:rsidP="00000000" w:rsidRDefault="00000000" w:rsidRPr="00000000" w14:paraId="0000001B">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C">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learning by getting things wrong. We question every idea to make it better and we change when things aren’t working.</w:t>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1F">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0">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21">
      <w:pPr>
        <w:keepNext w:val="1"/>
        <w:keepLines w:val="1"/>
        <w:spacing w:after="120" w:before="400" w:line="240"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22">
      <w:pPr>
        <w:keepNext w:val="1"/>
        <w:keepLines w:val="1"/>
        <w:spacing w:after="120" w:before="360" w:line="276" w:lineRule="auto"/>
        <w:rPr>
          <w:rFonts w:ascii="Open Sans" w:cs="Open Sans" w:eastAsia="Open Sans" w:hAnsi="Open Sans"/>
          <w:b w:val="1"/>
          <w:color w:val="004b88"/>
          <w:sz w:val="28"/>
          <w:szCs w:val="28"/>
        </w:rPr>
      </w:pPr>
      <w:bookmarkStart w:colFirst="0" w:colLast="0" w:name="_30j0zll" w:id="1"/>
      <w:bookmarkEnd w:id="1"/>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3">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4">
      <w:pPr>
        <w:keepNext w:val="1"/>
        <w:keepLines w:val="1"/>
        <w:spacing w:after="120" w:before="360" w:line="276" w:lineRule="auto"/>
        <w:rPr>
          <w:rFonts w:ascii="Open Sans" w:cs="Open Sans" w:eastAsia="Open Sans" w:hAnsi="Open Sans"/>
          <w:b w:val="1"/>
          <w:color w:val="004b88"/>
          <w:sz w:val="28"/>
          <w:szCs w:val="28"/>
        </w:rPr>
      </w:pPr>
      <w:bookmarkStart w:colFirst="0" w:colLast="0" w:name="_1fob9te" w:id="2"/>
      <w:bookmarkEnd w:id="2"/>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5">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6">
      <w:pPr>
        <w:keepNext w:val="1"/>
        <w:keepLines w:val="1"/>
        <w:spacing w:after="120" w:before="360" w:line="276" w:lineRule="auto"/>
        <w:rPr>
          <w:rFonts w:ascii="Open Sans" w:cs="Open Sans" w:eastAsia="Open Sans" w:hAnsi="Open Sans"/>
          <w:b w:val="1"/>
          <w:color w:val="004b88"/>
          <w:sz w:val="28"/>
          <w:szCs w:val="28"/>
        </w:rPr>
      </w:pPr>
      <w:bookmarkStart w:colFirst="0" w:colLast="0" w:name="_3znysh7" w:id="3"/>
      <w:bookmarkEnd w:id="3"/>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7">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8">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30 paid staff and over 50 volunteers.</w:t>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5">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about helping individuals and communities, and delivering services which improve people’s lives.</w:t>
      </w:r>
    </w:p>
    <w:p w:rsidR="00000000" w:rsidDel="00000000" w:rsidP="00000000" w:rsidRDefault="00000000" w:rsidRPr="00000000" w14:paraId="00000037">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8">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9">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A">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B">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C">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D">
      <w:pPr>
        <w:spacing w:after="240" w:line="240" w:lineRule="auto"/>
        <w:rPr>
          <w:rFonts w:ascii="Open Sans" w:cs="Open Sans" w:eastAsia="Open Sans" w:hAnsi="Open Sans"/>
          <w:b w:val="1"/>
          <w:color w:val="004888"/>
          <w:sz w:val="54"/>
          <w:szCs w:val="5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2" name="image4.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4.png"/>
                    <pic:cNvPicPr preferRelativeResize="0"/>
                  </pic:nvPicPr>
                  <pic:blipFill>
                    <a:blip r:embed="rId7"/>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The role</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rPr>
                <w:rFonts w:ascii="Open Sans" w:cs="Open Sans" w:eastAsia="Open Sans" w:hAnsi="Open Sans"/>
                <w:b w:val="1"/>
                <w:color w:val="ffffff"/>
                <w:sz w:val="24"/>
                <w:szCs w:val="24"/>
              </w:rPr>
            </w:pPr>
            <w:bookmarkStart w:colFirst="0" w:colLast="0" w:name="_2et92p0" w:id="4"/>
            <w:bookmarkEnd w:id="4"/>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Financial Wellbeing Adviser - Energy Mentors</w:t>
            </w:r>
          </w:p>
          <w:p w:rsidR="00000000" w:rsidDel="00000000" w:rsidP="00000000" w:rsidRDefault="00000000" w:rsidRPr="00000000" w14:paraId="00000040">
            <w:pPr>
              <w:widowControl w:val="0"/>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Open Sans" w:cs="Open Sans" w:eastAsia="Open Sans" w:hAnsi="Open Sans"/>
                <w:color w:val="004b88"/>
                <w:sz w:val="20"/>
                <w:szCs w:val="20"/>
              </w:rPr>
            </w:pPr>
            <w:r w:rsidDel="00000000" w:rsidR="00000000" w:rsidRPr="00000000">
              <w:rPr>
                <w:rFonts w:ascii="Open Sans" w:cs="Open Sans" w:eastAsia="Open Sans" w:hAnsi="Open Sans"/>
                <w:color w:val="004888"/>
                <w:sz w:val="24"/>
                <w:szCs w:val="24"/>
                <w:rtl w:val="0"/>
              </w:rPr>
              <w:t xml:space="preserve">(Trainee position considered for the right candidate)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up to £25,700 depending on experience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37 hours per week  (may be occasionally required to attend events outside of normal office hours but time off in lieu arrangements in place)</w:t>
            </w:r>
          </w:p>
          <w:p w:rsidR="00000000" w:rsidDel="00000000" w:rsidP="00000000" w:rsidRDefault="00000000" w:rsidRPr="00000000" w14:paraId="00000046">
            <w:pPr>
              <w:widowControl w:val="0"/>
              <w:spacing w:after="0" w:line="240" w:lineRule="auto"/>
              <w:rPr>
                <w:rFonts w:ascii="Open Sans" w:cs="Open Sans" w:eastAsia="Open Sans" w:hAnsi="Open Sans"/>
                <w:color w:val="004b88"/>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 </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Financial Wellbeing Manager</w:t>
            </w:r>
          </w:p>
        </w:tc>
      </w:tr>
    </w:tbl>
    <w:p w:rsidR="00000000" w:rsidDel="00000000" w:rsidP="00000000" w:rsidRDefault="00000000" w:rsidRPr="00000000" w14:paraId="0000004B">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Open Sans" w:cs="Open Sans" w:eastAsia="Open Sans" w:hAnsi="Open Sans"/>
          <w:color w:val="004b88"/>
          <w:sz w:val="24"/>
          <w:szCs w:val="24"/>
          <w:rtl w:val="0"/>
        </w:rPr>
        <w:t xml:space="preserve">The role focuses on helping people navigate challenges related to Financial insecurity with a primary focus on proactively helping residents to tackle the causes of fuel poverty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D">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provide a multi-channel advice service, including some home visits.</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pacing w:after="0" w:line="240" w:lineRule="auto"/>
        <w:ind w:left="720" w:firstLine="0"/>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Open Sans" w:cs="Open Sans" w:eastAsia="Open Sans" w:hAnsi="Open Sans"/>
          <w:color w:val="004b88"/>
          <w:sz w:val="24"/>
          <w:szCs w:val="24"/>
          <w:rtl w:val="0"/>
        </w:rPr>
        <w:t xml:space="preserve">This team champion Financial Wellbeing in Swindon and promote opportunities to embed financial inclusion across the borough, delivering outcomes focussed advice, helping people to find a way forward with the problems they face</w:t>
      </w:r>
      <w:r w:rsidDel="00000000" w:rsidR="00000000" w:rsidRPr="00000000">
        <w:rPr>
          <w:rtl w:val="0"/>
        </w:rPr>
      </w:r>
    </w:p>
    <w:p w:rsidR="00000000" w:rsidDel="00000000" w:rsidP="00000000" w:rsidRDefault="00000000" w:rsidRPr="00000000" w14:paraId="00000051">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52">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Work Areas and Tasks</w:t>
      </w:r>
    </w:p>
    <w:p w:rsidR="00000000" w:rsidDel="00000000" w:rsidP="00000000" w:rsidRDefault="00000000" w:rsidRPr="00000000" w14:paraId="00000053">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4">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Advice &amp; Casework</w:t>
      </w:r>
    </w:p>
    <w:p w:rsidR="00000000" w:rsidDel="00000000" w:rsidP="00000000" w:rsidRDefault="00000000" w:rsidRPr="00000000" w14:paraId="00000055">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Provide information and advice (generalist level) with a particular focus on, but not limited to, energy advice, budgeting support and income maximisation.</w:t>
      </w:r>
    </w:p>
    <w:p w:rsidR="00000000" w:rsidDel="00000000" w:rsidP="00000000" w:rsidRDefault="00000000" w:rsidRPr="00000000" w14:paraId="00000056">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Interview and advise clients face to face in the office, at a variety of outreach locations, over the phone, or at home visits.</w:t>
      </w:r>
      <w:r w:rsidDel="00000000" w:rsidR="00000000" w:rsidRPr="00000000">
        <w:rPr>
          <w:rtl w:val="0"/>
        </w:rPr>
      </w:r>
    </w:p>
    <w:p w:rsidR="00000000" w:rsidDel="00000000" w:rsidP="00000000" w:rsidRDefault="00000000" w:rsidRPr="00000000" w14:paraId="00000057">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Work with people  (individually or in small groups) to develop their knowledge, skills and confidence in efficient energy usage and making informed choices on managing their budgets.</w:t>
      </w:r>
      <w:r w:rsidDel="00000000" w:rsidR="00000000" w:rsidRPr="00000000">
        <w:rPr>
          <w:rtl w:val="0"/>
        </w:rPr>
      </w:r>
    </w:p>
    <w:p w:rsidR="00000000" w:rsidDel="00000000" w:rsidP="00000000" w:rsidRDefault="00000000" w:rsidRPr="00000000" w14:paraId="00000058">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Supporting clients from diverse communities, using sensitive listening and questioning skills in order to allow clients to explain their problem(s) and empower them to address </w:t>
      </w:r>
      <w:r w:rsidDel="00000000" w:rsidR="00000000" w:rsidRPr="00000000">
        <w:rPr>
          <w:rtl w:val="0"/>
        </w:rPr>
      </w:r>
    </w:p>
    <w:p w:rsidR="00000000" w:rsidDel="00000000" w:rsidP="00000000" w:rsidRDefault="00000000" w:rsidRPr="00000000" w14:paraId="00000059">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Empower clients to take action to resolve their problems. This might include supporting them to draft or write letters, make phone calls, or referring them to another appropriate organisation</w:t>
      </w:r>
      <w:r w:rsidDel="00000000" w:rsidR="00000000" w:rsidRPr="00000000">
        <w:rPr>
          <w:rtl w:val="0"/>
        </w:rPr>
      </w:r>
    </w:p>
    <w:p w:rsidR="00000000" w:rsidDel="00000000" w:rsidP="00000000" w:rsidRDefault="00000000" w:rsidRPr="00000000" w14:paraId="0000005A">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Research and apply for local solutions to help the client (eg food bank vouchers, fuel vouchers, local grants and assistance funds)  </w:t>
      </w:r>
      <w:r w:rsidDel="00000000" w:rsidR="00000000" w:rsidRPr="00000000">
        <w:rPr>
          <w:rtl w:val="0"/>
        </w:rPr>
      </w:r>
    </w:p>
    <w:p w:rsidR="00000000" w:rsidDel="00000000" w:rsidP="00000000" w:rsidRDefault="00000000" w:rsidRPr="00000000" w14:paraId="0000005B">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Be a champion for all aspects of Financial wellbeing and Inclusion within the Borough, working with partners to embed financial capability knowledge and Energy efficiency.</w:t>
      </w:r>
      <w:r w:rsidDel="00000000" w:rsidR="00000000" w:rsidRPr="00000000">
        <w:rPr>
          <w:rtl w:val="0"/>
        </w:rPr>
      </w:r>
    </w:p>
    <w:p w:rsidR="00000000" w:rsidDel="00000000" w:rsidP="00000000" w:rsidRDefault="00000000" w:rsidRPr="00000000" w14:paraId="0000005C">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Ensure that all work conforms to the Citizens Advice Quality Standard.</w:t>
      </w:r>
      <w:r w:rsidDel="00000000" w:rsidR="00000000" w:rsidRPr="00000000">
        <w:rPr>
          <w:rtl w:val="0"/>
        </w:rPr>
      </w:r>
    </w:p>
    <w:p w:rsidR="00000000" w:rsidDel="00000000" w:rsidP="00000000" w:rsidRDefault="00000000" w:rsidRPr="00000000" w14:paraId="0000005D">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Maintain case records for the purpose of continuity of casework, information retrieval, statistical monitoring and report preparation. </w:t>
      </w:r>
      <w:r w:rsidDel="00000000" w:rsidR="00000000" w:rsidRPr="00000000">
        <w:rPr>
          <w:rtl w:val="0"/>
        </w:rPr>
      </w:r>
    </w:p>
    <w:p w:rsidR="00000000" w:rsidDel="00000000" w:rsidP="00000000" w:rsidRDefault="00000000" w:rsidRPr="00000000" w14:paraId="0000005E">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276" w:lineRule="auto"/>
        <w:ind w:left="360" w:firstLine="0"/>
        <w:rPr>
          <w:rFonts w:ascii="Open Sans" w:cs="Open Sans" w:eastAsia="Open Sans" w:hAnsi="Open Sans"/>
          <w:b w:val="1"/>
          <w:color w:val="004b88"/>
          <w:sz w:val="24"/>
          <w:szCs w:val="24"/>
        </w:rPr>
      </w:pPr>
      <w:r w:rsidDel="00000000" w:rsidR="00000000" w:rsidRPr="00000000">
        <w:rPr>
          <w:rFonts w:ascii="Arial" w:cs="Arial" w:eastAsia="Arial" w:hAnsi="Arial"/>
          <w:color w:val="004b88"/>
          <w:sz w:val="24"/>
          <w:szCs w:val="24"/>
          <w:rtl w:val="0"/>
        </w:rPr>
        <w:t xml:space="preserve"> </w:t>
      </w:r>
      <w:r w:rsidDel="00000000" w:rsidR="00000000" w:rsidRPr="00000000">
        <w:rPr>
          <w:rtl w:val="0"/>
        </w:rPr>
      </w:r>
    </w:p>
    <w:p w:rsidR="00000000" w:rsidDel="00000000" w:rsidP="00000000" w:rsidRDefault="00000000" w:rsidRPr="00000000" w14:paraId="00000060">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Project Work</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Attend external events and meetings to promote the project and champion Financial Wellbeing and efficient energy usage, these may be outside of normal office hours.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Deliver group education sessions in schools, colleges and to recent care leavers to develop skills and knowledge in Energy issues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Develop literature to promote the project and carry out other marketing activities such as writing case studies, articles or delivering presentations.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Help develop and maintain a range of partnerships to reach clients and gain support for the project.</w:t>
      </w:r>
      <w:r w:rsidDel="00000000" w:rsidR="00000000" w:rsidRPr="00000000">
        <w:rPr>
          <w:rtl w:val="0"/>
        </w:rPr>
      </w:r>
    </w:p>
    <w:p w:rsidR="00000000" w:rsidDel="00000000" w:rsidP="00000000" w:rsidRDefault="00000000" w:rsidRPr="00000000" w14:paraId="00000065">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6">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Research and Campaigns </w:t>
      </w:r>
    </w:p>
    <w:p w:rsidR="00000000" w:rsidDel="00000000" w:rsidP="00000000" w:rsidRDefault="00000000" w:rsidRPr="00000000" w14:paraId="00000067">
      <w:pPr>
        <w:numPr>
          <w:ilvl w:val="0"/>
          <w:numId w:val="3"/>
        </w:numPr>
        <w:spacing w:after="0" w:lineRule="auto"/>
        <w:ind w:left="720" w:hanging="360"/>
        <w:rPr>
          <w:rFonts w:ascii="Open Sans" w:cs="Open Sans" w:eastAsia="Open Sans" w:hAnsi="Open Sans"/>
          <w:b w:val="1"/>
          <w:color w:val="004888"/>
          <w:sz w:val="24"/>
          <w:szCs w:val="24"/>
        </w:rPr>
      </w:pPr>
      <w:r w:rsidDel="00000000" w:rsidR="00000000" w:rsidRPr="00000000">
        <w:rPr>
          <w:rFonts w:ascii="Open Sans" w:cs="Open Sans" w:eastAsia="Open Sans" w:hAnsi="Open Sans"/>
          <w:color w:val="004888"/>
          <w:sz w:val="24"/>
          <w:szCs w:val="24"/>
          <w:rtl w:val="0"/>
        </w:rPr>
        <w:t xml:space="preserve">Monitor advice enquiries, contributing to research and campaign projects locally, and across the Citizens Advice network</w:t>
      </w:r>
      <w:r w:rsidDel="00000000" w:rsidR="00000000" w:rsidRPr="00000000">
        <w:rPr>
          <w:rtl w:val="0"/>
        </w:rPr>
      </w:r>
    </w:p>
    <w:p w:rsidR="00000000" w:rsidDel="00000000" w:rsidP="00000000" w:rsidRDefault="00000000" w:rsidRPr="00000000" w14:paraId="00000068">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9">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Professional development</w:t>
      </w:r>
    </w:p>
    <w:p w:rsidR="00000000" w:rsidDel="00000000" w:rsidP="00000000" w:rsidRDefault="00000000" w:rsidRPr="00000000" w14:paraId="0000006A">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b88"/>
          <w:sz w:val="24"/>
          <w:szCs w:val="24"/>
          <w:rtl w:val="0"/>
        </w:rPr>
        <w:t xml:space="preserve">You will need to have passed the City and Guilds NEA Level 3 Energy Awareness exam within 2 months of starting the role.</w:t>
      </w:r>
    </w:p>
    <w:p w:rsidR="00000000" w:rsidDel="00000000" w:rsidP="00000000" w:rsidRDefault="00000000" w:rsidRPr="00000000" w14:paraId="0000006B">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888"/>
          <w:sz w:val="24"/>
          <w:szCs w:val="24"/>
          <w:rtl w:val="0"/>
        </w:rPr>
        <w:t xml:space="preserve">Undertake role appropriate training as agreed with line manager</w:t>
      </w:r>
    </w:p>
    <w:p w:rsidR="00000000" w:rsidDel="00000000" w:rsidP="00000000" w:rsidRDefault="00000000" w:rsidRPr="00000000" w14:paraId="0000006C">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888"/>
          <w:sz w:val="24"/>
          <w:szCs w:val="24"/>
          <w:rtl w:val="0"/>
        </w:rPr>
        <w:t xml:space="preserve">Attend relevant internal and external meetings as agreed with the line manager.</w:t>
      </w:r>
    </w:p>
    <w:p w:rsidR="00000000" w:rsidDel="00000000" w:rsidP="00000000" w:rsidRDefault="00000000" w:rsidRPr="00000000" w14:paraId="0000006D">
      <w:pPr>
        <w:numPr>
          <w:ilvl w:val="0"/>
          <w:numId w:val="4"/>
        </w:numPr>
        <w:spacing w:after="0" w:lineRule="auto"/>
        <w:ind w:left="720" w:hanging="360"/>
        <w:rPr>
          <w:color w:val="004888"/>
          <w:sz w:val="24"/>
          <w:szCs w:val="24"/>
        </w:rPr>
      </w:pPr>
      <w:r w:rsidDel="00000000" w:rsidR="00000000" w:rsidRPr="00000000">
        <w:rPr>
          <w:rFonts w:ascii="Open Sans" w:cs="Open Sans" w:eastAsia="Open Sans" w:hAnsi="Open Sans"/>
          <w:color w:val="004888"/>
          <w:sz w:val="24"/>
          <w:szCs w:val="24"/>
          <w:rtl w:val="0"/>
        </w:rPr>
        <w:t xml:space="preserve">Attend supervision sessions with your line manager at agreed periodic intervals.</w:t>
      </w:r>
    </w:p>
    <w:p w:rsidR="00000000" w:rsidDel="00000000" w:rsidP="00000000" w:rsidRDefault="00000000" w:rsidRPr="00000000" w14:paraId="0000006E">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F">
      <w:pPr>
        <w:spacing w:after="0" w:lineRule="auto"/>
        <w:jc w:val="both"/>
        <w:rPr>
          <w:rFonts w:ascii="Open Sans" w:cs="Open Sans" w:eastAsia="Open Sans" w:hAnsi="Open Sans"/>
          <w:b w:val="1"/>
          <w:color w:val="1f4e79"/>
          <w:sz w:val="24"/>
          <w:szCs w:val="24"/>
        </w:rPr>
      </w:pPr>
      <w:r w:rsidDel="00000000" w:rsidR="00000000" w:rsidRPr="00000000">
        <w:rPr>
          <w:rFonts w:ascii="Open Sans" w:cs="Open Sans" w:eastAsia="Open Sans" w:hAnsi="Open Sans"/>
          <w:b w:val="1"/>
          <w:color w:val="1f4e79"/>
          <w:sz w:val="24"/>
          <w:szCs w:val="24"/>
          <w:rtl w:val="0"/>
        </w:rPr>
        <w:t xml:space="preserve">General Duties</w:t>
      </w:r>
    </w:p>
    <w:p w:rsidR="00000000" w:rsidDel="00000000" w:rsidP="00000000" w:rsidRDefault="00000000" w:rsidRPr="00000000" w14:paraId="00000070">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cooperatively with colleagues and encourage good teamwork, clear lines of communication and common practices within the organisation.</w:t>
      </w:r>
    </w:p>
    <w:p w:rsidR="00000000" w:rsidDel="00000000" w:rsidP="00000000" w:rsidRDefault="00000000" w:rsidRPr="00000000" w14:paraId="00000071">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Contribute to a positive working environment in which equality and diversity are championed, dignity at work is upheld and staff and volunteers perform optimally.</w:t>
      </w:r>
    </w:p>
    <w:p w:rsidR="00000000" w:rsidDel="00000000" w:rsidP="00000000" w:rsidRDefault="00000000" w:rsidRPr="00000000" w14:paraId="00000072">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to foster good relationships with external organisations.</w:t>
      </w:r>
    </w:p>
    <w:p w:rsidR="00000000" w:rsidDel="00000000" w:rsidP="00000000" w:rsidRDefault="00000000" w:rsidRPr="00000000" w14:paraId="00000073">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Promote the aims, policies, and membership requirements of the Citizens Advice service and Citizens Advice Swindon.</w:t>
      </w:r>
    </w:p>
    <w:p w:rsidR="00000000" w:rsidDel="00000000" w:rsidP="00000000" w:rsidRDefault="00000000" w:rsidRPr="00000000" w14:paraId="00000074">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Abide by health and safety guidelines and share responsibility for your own safety and that of colleagues.</w:t>
      </w:r>
    </w:p>
    <w:p w:rsidR="00000000" w:rsidDel="00000000" w:rsidP="00000000" w:rsidRDefault="00000000" w:rsidRPr="00000000" w14:paraId="00000075">
      <w:pPr>
        <w:numPr>
          <w:ilvl w:val="0"/>
          <w:numId w:val="7"/>
        </w:numPr>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Carry out any other tasks that may be within the scope of the post to ensure the effective delivery and development of the advice service.</w:t>
      </w:r>
    </w:p>
    <w:p w:rsidR="00000000" w:rsidDel="00000000" w:rsidP="00000000" w:rsidRDefault="00000000" w:rsidRPr="00000000" w14:paraId="00000076">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7">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               Person specification</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495300" cy="426720"/>
            <wp:effectExtent b="0" l="0" r="0" t="0"/>
            <wp:wrapNone/>
            <wp:docPr descr="https://lh6.googleusercontent.com/NNLW4RTlsjkVLAyNIMjcIdCIFwRDadd9mbVZcacoHGiHwcDDvICoXRaQGKJHhfofDhmwXELOOc9nB1MV9xOWT6xLKH69Oy_ruktU4bLGA2cJlq3JAybIodU99iVEyXvz96CPA672" id="5" name="image1.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1.png"/>
                    <pic:cNvPicPr preferRelativeResize="0"/>
                  </pic:nvPicPr>
                  <pic:blipFill>
                    <a:blip r:embed="rId8"/>
                    <a:srcRect b="0" l="0" r="0" t="0"/>
                    <a:stretch>
                      <a:fillRect/>
                    </a:stretch>
                  </pic:blipFill>
                  <pic:spPr>
                    <a:xfrm>
                      <a:off x="0" y="0"/>
                      <a:ext cx="495300" cy="426720"/>
                    </a:xfrm>
                    <a:prstGeom prst="rect"/>
                    <a:ln/>
                  </pic:spPr>
                </pic:pic>
              </a:graphicData>
            </a:graphic>
          </wp:anchor>
        </w:drawing>
      </w:r>
    </w:p>
    <w:p w:rsidR="00000000" w:rsidDel="00000000" w:rsidP="00000000" w:rsidRDefault="00000000" w:rsidRPr="00000000" w14:paraId="00000078">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9">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A">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Essential</w:t>
      </w:r>
    </w:p>
    <w:p w:rsidR="00000000" w:rsidDel="00000000" w:rsidP="00000000" w:rsidRDefault="00000000" w:rsidRPr="00000000" w14:paraId="0000007B">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Be confident in assessing complex issues and working with people facing various challenges in order to meet the needs and demand of the service.</w:t>
      </w:r>
    </w:p>
    <w:p w:rsidR="00000000" w:rsidDel="00000000" w:rsidP="00000000" w:rsidRDefault="00000000" w:rsidRPr="00000000" w14:paraId="0000007D">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ability to manage and support others during times of crisis, be resilient and able to manage difficult and emotional conversations well.</w:t>
      </w:r>
    </w:p>
    <w:p w:rsidR="00000000" w:rsidDel="00000000" w:rsidP="00000000" w:rsidRDefault="00000000" w:rsidRPr="00000000" w14:paraId="0000007E">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use sensitive listening and questioning skills to get to the root of the issues and empower clients.</w:t>
      </w:r>
    </w:p>
    <w:p w:rsidR="00000000" w:rsidDel="00000000" w:rsidP="00000000" w:rsidRDefault="00000000" w:rsidRPr="00000000" w14:paraId="0000007F">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good understanding of the issues relating to, and causes of Fuel Poverty and Financial Insecurity </w:t>
      </w:r>
      <w:r w:rsidDel="00000000" w:rsidR="00000000" w:rsidRPr="00000000">
        <w:rPr>
          <w:rtl w:val="0"/>
        </w:rPr>
      </w:r>
    </w:p>
    <w:p w:rsidR="00000000" w:rsidDel="00000000" w:rsidP="00000000" w:rsidRDefault="00000000" w:rsidRPr="00000000" w14:paraId="00000080">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An awareness of the social issues which cause disadvantage and inequality</w:t>
      </w:r>
    </w:p>
    <w:p w:rsidR="00000000" w:rsidDel="00000000" w:rsidP="00000000" w:rsidRDefault="00000000" w:rsidRPr="00000000" w14:paraId="00000081">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Be able to demonstrate excellent organisational skills to prioritise your workload well and achieve performance-related objectives.</w:t>
      </w:r>
      <w:r w:rsidDel="00000000" w:rsidR="00000000" w:rsidRPr="00000000">
        <w:rPr>
          <w:rtl w:val="0"/>
        </w:rPr>
      </w:r>
    </w:p>
    <w:p w:rsidR="00000000" w:rsidDel="00000000" w:rsidP="00000000" w:rsidRDefault="00000000" w:rsidRPr="00000000" w14:paraId="00000082">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‘can do’ attitude with the ability to adapt to changing situations</w:t>
      </w:r>
    </w:p>
    <w:p w:rsidR="00000000" w:rsidDel="00000000" w:rsidP="00000000" w:rsidRDefault="00000000" w:rsidRPr="00000000" w14:paraId="00000083">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Good IT and digital skills, with the ability to work independently using a range of applications</w:t>
      </w:r>
    </w:p>
    <w:p w:rsidR="00000000" w:rsidDel="00000000" w:rsidP="00000000" w:rsidRDefault="00000000" w:rsidRPr="00000000" w14:paraId="00000084">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work as part of a team</w:t>
      </w:r>
    </w:p>
    <w:p w:rsidR="00000000" w:rsidDel="00000000" w:rsidP="00000000" w:rsidRDefault="00000000" w:rsidRPr="00000000" w14:paraId="00000085">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commit to, and work within the aims, principles and policies of the Citizens Advice service</w:t>
      </w:r>
    </w:p>
    <w:p w:rsidR="00000000" w:rsidDel="00000000" w:rsidP="00000000" w:rsidRDefault="00000000" w:rsidRPr="00000000" w14:paraId="00000086">
      <w:pPr>
        <w:numPr>
          <w:ilvl w:val="0"/>
          <w:numId w:val="1"/>
        </w:numPr>
        <w:spacing w:after="0" w:line="24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 Commitment to continuous professional development</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24"/>
          <w:szCs w:val="24"/>
          <w:rtl w:val="0"/>
        </w:rPr>
        <w:t xml:space="preserve">Desirable</w:t>
      </w:r>
      <w:r w:rsidDel="00000000" w:rsidR="00000000" w:rsidRPr="00000000">
        <w:rPr>
          <w:rtl w:val="0"/>
        </w:rPr>
      </w:r>
    </w:p>
    <w:p w:rsidR="00000000" w:rsidDel="00000000" w:rsidP="00000000" w:rsidRDefault="00000000" w:rsidRPr="00000000" w14:paraId="00000089">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 </w:t>
      </w:r>
      <w:r w:rsidDel="00000000" w:rsidR="00000000" w:rsidRPr="00000000">
        <w:rPr>
          <w:rFonts w:ascii="Open Sans" w:cs="Open Sans" w:eastAsia="Open Sans" w:hAnsi="Open Sans"/>
          <w:color w:val="004b88"/>
          <w:sz w:val="24"/>
          <w:szCs w:val="24"/>
          <w:rtl w:val="0"/>
        </w:rPr>
        <w:t xml:space="preserve">City and Guilds/ NEA  Energy Awareness qualification </w:t>
      </w:r>
    </w:p>
    <w:p w:rsidR="00000000" w:rsidDel="00000000" w:rsidP="00000000" w:rsidRDefault="00000000" w:rsidRPr="00000000" w14:paraId="0000008A">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 Experience of providing generalist level advice on issues such as Energy, Welfare Benefits or Debt</w:t>
      </w:r>
    </w:p>
    <w:p w:rsidR="00000000" w:rsidDel="00000000" w:rsidP="00000000" w:rsidRDefault="00000000" w:rsidRPr="00000000" w14:paraId="0000008B">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Certificate in Generalist Advice Work or equivalent qualification. </w:t>
      </w:r>
    </w:p>
    <w:p w:rsidR="00000000" w:rsidDel="00000000" w:rsidP="00000000" w:rsidRDefault="00000000" w:rsidRPr="00000000" w14:paraId="0000008C">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the successful candidate may be screened by the DBS. However, a criminal record will not necessarily be a bar to your being able to take up the job.</w:t>
      </w:r>
    </w:p>
    <w:p w:rsidR="00000000" w:rsidDel="00000000" w:rsidP="00000000" w:rsidRDefault="00000000" w:rsidRPr="00000000" w14:paraId="0000008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4" name="image4.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4.png"/>
                    <pic:cNvPicPr preferRelativeResize="0"/>
                  </pic:nvPicPr>
                  <pic:blipFill>
                    <a:blip r:embed="rId7"/>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8F">
      <w:pPr>
        <w:spacing w:after="0" w:line="240" w:lineRule="auto"/>
        <w:rPr>
          <w:rFonts w:ascii="Open Sans" w:cs="Open Sans" w:eastAsia="Open Sans" w:hAnsi="Open Sans"/>
          <w:color w:val="004b88"/>
          <w:sz w:val="24"/>
          <w:szCs w:val="24"/>
        </w:rPr>
      </w:pPr>
      <w:bookmarkStart w:colFirst="0" w:colLast="0" w:name="_1t3h5sf" w:id="5"/>
      <w:bookmarkEnd w:id="5"/>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up to £25,700 depending on experience</w:t>
      </w:r>
    </w:p>
    <w:p w:rsidR="00000000" w:rsidDel="00000000" w:rsidP="00000000" w:rsidRDefault="00000000" w:rsidRPr="00000000" w14:paraId="00000090">
      <w:pPr>
        <w:spacing w:after="0" w:line="240" w:lineRule="auto"/>
        <w:ind w:left="720" w:firstLine="720"/>
        <w:rPr>
          <w:rFonts w:ascii="Open Sans" w:cs="Open Sans" w:eastAsia="Open Sans" w:hAnsi="Open Sans"/>
          <w:color w:val="004b88"/>
          <w:sz w:val="24"/>
          <w:szCs w:val="24"/>
        </w:rPr>
      </w:pPr>
      <w:bookmarkStart w:colFirst="0" w:colLast="0" w:name="_2s8eyo1" w:id="6"/>
      <w:bookmarkEnd w:id="6"/>
      <w:r w:rsidDel="00000000" w:rsidR="00000000" w:rsidRPr="00000000">
        <w:rPr>
          <w:rtl w:val="0"/>
        </w:rPr>
      </w:r>
    </w:p>
    <w:p w:rsidR="00000000" w:rsidDel="00000000" w:rsidP="00000000" w:rsidRDefault="00000000" w:rsidRPr="00000000" w14:paraId="00000091">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37 hours per week</w:t>
      </w:r>
    </w:p>
    <w:p w:rsidR="00000000" w:rsidDel="00000000" w:rsidP="00000000" w:rsidRDefault="00000000" w:rsidRPr="00000000" w14:paraId="00000092">
      <w:pPr>
        <w:spacing w:after="240" w:line="240" w:lineRule="auto"/>
        <w:ind w:left="0" w:firstLine="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 </w:t>
      </w:r>
      <w:r w:rsidDel="00000000" w:rsidR="00000000" w:rsidRPr="00000000">
        <w:rPr>
          <w:rFonts w:ascii="Helvetica Neue" w:cs="Helvetica Neue" w:eastAsia="Helvetica Neue" w:hAnsi="Helvetica Neue"/>
          <w:color w:val="545454"/>
          <w:highlight w:val="white"/>
          <w:rtl w:val="0"/>
        </w:rPr>
        <w:t xml:space="preserve">Hybrid working a mixture of office and outreach,  with some home working considered once you have achieved independence in the role. </w:t>
      </w:r>
      <w:r w:rsidDel="00000000" w:rsidR="00000000" w:rsidRPr="00000000">
        <w:rPr>
          <w:rtl w:val="0"/>
        </w:rPr>
      </w:r>
    </w:p>
    <w:p w:rsidR="00000000" w:rsidDel="00000000" w:rsidP="00000000" w:rsidRDefault="00000000" w:rsidRPr="00000000" w14:paraId="00000093">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94">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3" name="image3.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3.png"/>
                    <pic:cNvPicPr preferRelativeResize="0"/>
                  </pic:nvPicPr>
                  <pic:blipFill>
                    <a:blip r:embed="rId9"/>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25 days paid holiday per year plus Bank Holidays pro rata, and a discretionary 3 additional days between Christmas and New Year</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5% employers contribution to workplace pension scheme with 3% employees contribution</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A commitment to Continued Professional Development Access to Citizens Advice national training programme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Opportunity to work as part of a national network of Citizens Advice offices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Employee Assistance Programme including 24hr helpline support and legal advice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Mental Health and Wellbeing Support </w:t>
      </w:r>
      <w:r w:rsidDel="00000000" w:rsidR="00000000" w:rsidRPr="00000000">
        <w:rPr>
          <w:rFonts w:ascii="Open Sans" w:cs="Open Sans" w:eastAsia="Open Sans" w:hAnsi="Open Sans"/>
          <w:color w:val="244061"/>
          <w:sz w:val="24"/>
          <w:szCs w:val="24"/>
          <w:rtl w:val="0"/>
        </w:rPr>
        <w:t xml:space="preserve">through Telus Health</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426" w:right="0" w:hanging="360"/>
        <w:jc w:val="left"/>
        <w:rPr>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Perks and savings via our partnership with </w:t>
      </w:r>
      <w:r w:rsidDel="00000000" w:rsidR="00000000" w:rsidRPr="00000000">
        <w:rPr>
          <w:rFonts w:ascii="Open Sans" w:cs="Open Sans" w:eastAsia="Open Sans" w:hAnsi="Open Sans"/>
          <w:color w:val="244061"/>
          <w:sz w:val="24"/>
          <w:szCs w:val="24"/>
          <w:rtl w:val="0"/>
        </w:rPr>
        <w:t xml:space="preserve">Telus Health, </w:t>
      </w: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these include savings on cinema tickets, giftcards and cashback on some purchases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